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F3" w:rsidRPr="008B4F36" w:rsidRDefault="00461107" w:rsidP="00A20EF3">
      <w:pPr>
        <w:pStyle w:val="Pavadinimas"/>
        <w:rPr>
          <w:szCs w:val="28"/>
        </w:rPr>
      </w:pPr>
      <w:bookmarkStart w:id="0" w:name="_GoBack"/>
      <w:bookmarkEnd w:id="0"/>
      <w:r>
        <w:rPr>
          <w:szCs w:val="28"/>
        </w:rPr>
        <w:t>2</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 xml:space="preserve">DĖL KAUNO RAJONO SAVIVALDYBĖS TARYBOS 2017 M. SAUSIO 26 D. SPRENDIMO NR. TS-49 „DĖL KOMUNALINIŲ ATLIEKŲ TVARKYMO KAINOS, DVINARĖS ĮMOKOS UŽ KOMUNALINIŲ ATLIEKŲ SURINKIMĄ IR TVARKYMĄ DYDŽIŲ IR ATLIEKŲ SUSIDARYMO NORMŲ PATVIRTINIMO“ PAKEITIMO </w:t>
      </w:r>
    </w:p>
    <w:p w:rsidR="0077145F" w:rsidRPr="0077145F" w:rsidRDefault="0077145F" w:rsidP="0077145F">
      <w:pPr>
        <w:spacing w:line="360" w:lineRule="auto"/>
        <w:rPr>
          <w:rFonts w:ascii="Times New Roman" w:hAnsi="Times New Roman"/>
          <w:b/>
          <w:sz w:val="24"/>
          <w:szCs w:val="24"/>
        </w:rPr>
      </w:pPr>
    </w:p>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 xml:space="preserve">2018 m. vasario 22 d. </w:t>
      </w:r>
      <w:r>
        <w:rPr>
          <w:rFonts w:ascii="Times New Roman" w:hAnsi="Times New Roman"/>
          <w:sz w:val="24"/>
          <w:szCs w:val="24"/>
        </w:rPr>
        <w:t xml:space="preserve"> </w:t>
      </w:r>
      <w:r w:rsidRPr="0077145F">
        <w:rPr>
          <w:rFonts w:ascii="Times New Roman" w:hAnsi="Times New Roman"/>
          <w:sz w:val="24"/>
          <w:szCs w:val="24"/>
        </w:rPr>
        <w:t>Nr. TS-</w:t>
      </w:r>
      <w:r w:rsidR="000170E3">
        <w:rPr>
          <w:rFonts w:ascii="Times New Roman" w:hAnsi="Times New Roman"/>
          <w:sz w:val="24"/>
          <w:szCs w:val="24"/>
        </w:rPr>
        <w:t>55</w:t>
      </w:r>
    </w:p>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Kaunas</w:t>
      </w:r>
    </w:p>
    <w:p w:rsidR="0077145F" w:rsidRPr="0077145F" w:rsidRDefault="0077145F" w:rsidP="0077145F">
      <w:pPr>
        <w:spacing w:line="360" w:lineRule="auto"/>
        <w:jc w:val="center"/>
        <w:rPr>
          <w:rFonts w:ascii="Times New Roman" w:hAnsi="Times New Roman"/>
          <w:sz w:val="24"/>
          <w:szCs w:val="24"/>
        </w:rPr>
      </w:pPr>
    </w:p>
    <w:p w:rsidR="0077145F" w:rsidRPr="0077145F" w:rsidRDefault="0077145F" w:rsidP="0077145F">
      <w:pPr>
        <w:spacing w:line="360" w:lineRule="auto"/>
        <w:jc w:val="center"/>
        <w:rPr>
          <w:rFonts w:ascii="Times New Roman" w:hAnsi="Times New Roman"/>
          <w:sz w:val="24"/>
          <w:szCs w:val="24"/>
        </w:rPr>
      </w:pPr>
    </w:p>
    <w:p w:rsidR="0077145F" w:rsidRPr="0077145F" w:rsidRDefault="0077145F" w:rsidP="0077145F">
      <w:pPr>
        <w:tabs>
          <w:tab w:val="left" w:pos="1134"/>
        </w:tabs>
        <w:spacing w:line="360" w:lineRule="auto"/>
        <w:ind w:firstLine="851"/>
        <w:jc w:val="both"/>
        <w:rPr>
          <w:rFonts w:ascii="Times New Roman" w:hAnsi="Times New Roman"/>
          <w:sz w:val="24"/>
          <w:szCs w:val="24"/>
        </w:rPr>
      </w:pPr>
      <w:r w:rsidRPr="0077145F">
        <w:rPr>
          <w:rFonts w:ascii="Times New Roman" w:hAnsi="Times New Roman"/>
          <w:sz w:val="24"/>
          <w:szCs w:val="24"/>
        </w:rPr>
        <w:t>Vadovaudamasi Lietuvos Respublikos vietos savivaldos įstatymo 18 straipsnio 1 dalimi, Kauno rajono savivaldybės taryba n u s p r e n d ž i a:</w:t>
      </w:r>
    </w:p>
    <w:p w:rsidR="0077145F" w:rsidRPr="0077145F" w:rsidRDefault="0077145F" w:rsidP="005923BA">
      <w:pPr>
        <w:numPr>
          <w:ilvl w:val="0"/>
          <w:numId w:val="2"/>
        </w:numPr>
        <w:tabs>
          <w:tab w:val="left" w:pos="993"/>
          <w:tab w:val="left" w:pos="1134"/>
        </w:tabs>
        <w:spacing w:line="360" w:lineRule="auto"/>
        <w:ind w:left="0" w:firstLine="851"/>
        <w:contextualSpacing/>
        <w:jc w:val="both"/>
        <w:rPr>
          <w:rFonts w:ascii="Times New Roman" w:hAnsi="Times New Roman"/>
          <w:sz w:val="24"/>
          <w:szCs w:val="24"/>
        </w:rPr>
      </w:pPr>
      <w:r w:rsidRPr="0077145F">
        <w:rPr>
          <w:rFonts w:ascii="Times New Roman" w:hAnsi="Times New Roman"/>
          <w:sz w:val="24"/>
          <w:szCs w:val="24"/>
        </w:rPr>
        <w:t xml:space="preserve">Pakeisti Komunalinių atliekų tvarkymo kainą, dvinarės įmokos už komunalinių atliekų surinkimą ir tvarkymą dydžius ir atliekų susidarymo normas, patvirtintas Kauno rajono savivaldybės tarybos 2017 m. sausio 26 d. sprendimu Nr. TS-49 „Dėl komunalinių atliekų tvarkymo kainos, dvinarės įmokos už komunalinių atliekų surinkimą ir tvarkymą dydžių ir atliekų susidarymo normų patvirtinimo“, ir išdėstyti nauja redakcija (pridedama). </w:t>
      </w:r>
    </w:p>
    <w:p w:rsidR="0077145F" w:rsidRPr="0077145F" w:rsidRDefault="0077145F" w:rsidP="005923BA">
      <w:pPr>
        <w:numPr>
          <w:ilvl w:val="0"/>
          <w:numId w:val="2"/>
        </w:numPr>
        <w:tabs>
          <w:tab w:val="left" w:pos="993"/>
          <w:tab w:val="left" w:pos="1134"/>
        </w:tabs>
        <w:spacing w:line="360" w:lineRule="auto"/>
        <w:ind w:left="0" w:firstLine="851"/>
        <w:contextualSpacing/>
        <w:jc w:val="both"/>
        <w:rPr>
          <w:rFonts w:ascii="Times New Roman" w:hAnsi="Times New Roman"/>
          <w:sz w:val="24"/>
          <w:szCs w:val="24"/>
        </w:rPr>
      </w:pPr>
      <w:r w:rsidRPr="0077145F">
        <w:rPr>
          <w:rFonts w:ascii="Times New Roman" w:hAnsi="Times New Roman"/>
          <w:sz w:val="24"/>
          <w:szCs w:val="24"/>
        </w:rPr>
        <w:t>Nustatyti, kad šis sprendimas įsigalioja nuo 2018 m. kovo 1 d.</w:t>
      </w:r>
    </w:p>
    <w:p w:rsidR="0077145F" w:rsidRPr="0077145F" w:rsidRDefault="0077145F" w:rsidP="0077145F">
      <w:pPr>
        <w:tabs>
          <w:tab w:val="left" w:pos="1134"/>
        </w:tabs>
        <w:spacing w:line="360" w:lineRule="auto"/>
        <w:ind w:firstLine="851"/>
        <w:jc w:val="both"/>
        <w:rPr>
          <w:rFonts w:ascii="Times New Roman" w:hAnsi="Times New Roman"/>
          <w:sz w:val="24"/>
          <w:szCs w:val="24"/>
        </w:rPr>
      </w:pPr>
      <w:r w:rsidRPr="0077145F">
        <w:rPr>
          <w:rFonts w:ascii="Times New Roman" w:hAnsi="Times New Roman"/>
          <w:sz w:val="24"/>
          <w:szCs w:val="24"/>
        </w:rPr>
        <w:t>Šis sprendimas Lietuvos Respublikos administracinių bylų teisenos įstatymo nustatyta tvarka gali būti skundžiamas Regionų apygardos administracinio teismo Kauno rūmams (A. Mickevičiaus g. 8A, 44312 Kaunas).</w:t>
      </w: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r w:rsidRPr="0077145F">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spacing w:line="360" w:lineRule="auto"/>
        <w:jc w:val="both"/>
        <w:rPr>
          <w:rFonts w:ascii="Times New Roman" w:hAnsi="Times New Roman"/>
          <w:sz w:val="24"/>
          <w:szCs w:val="24"/>
        </w:rPr>
      </w:pPr>
    </w:p>
    <w:p w:rsidR="0077145F" w:rsidRPr="0077145F" w:rsidRDefault="0077145F" w:rsidP="0077145F">
      <w:pPr>
        <w:tabs>
          <w:tab w:val="num" w:pos="0"/>
        </w:tabs>
        <w:spacing w:before="240"/>
        <w:ind w:firstLine="4536"/>
        <w:outlineLvl w:val="7"/>
        <w:rPr>
          <w:rFonts w:ascii="Times New Roman" w:hAnsi="Times New Roman"/>
          <w:iCs/>
          <w:sz w:val="24"/>
          <w:szCs w:val="24"/>
          <w:lang w:eastAsia="sv-SE"/>
        </w:rPr>
      </w:pPr>
      <w:r w:rsidRPr="0077145F">
        <w:rPr>
          <w:rFonts w:ascii="Times New Roman" w:hAnsi="Times New Roman"/>
          <w:iCs/>
          <w:sz w:val="24"/>
          <w:szCs w:val="24"/>
          <w:lang w:eastAsia="sv-SE"/>
        </w:rPr>
        <w:lastRenderedPageBreak/>
        <w:t>PATVIRTINTA</w:t>
      </w:r>
    </w:p>
    <w:p w:rsidR="0077145F" w:rsidRPr="0077145F" w:rsidRDefault="0077145F" w:rsidP="0077145F">
      <w:pPr>
        <w:tabs>
          <w:tab w:val="num" w:pos="0"/>
        </w:tabs>
        <w:ind w:firstLine="4536"/>
        <w:rPr>
          <w:rFonts w:ascii="Times New Roman" w:eastAsiaTheme="minorHAnsi" w:hAnsi="Times New Roman"/>
          <w:sz w:val="24"/>
          <w:szCs w:val="24"/>
          <w:lang w:eastAsia="sv-SE"/>
        </w:rPr>
      </w:pPr>
      <w:r w:rsidRPr="0077145F">
        <w:rPr>
          <w:rFonts w:ascii="Times New Roman" w:eastAsiaTheme="minorHAnsi" w:hAnsi="Times New Roman"/>
          <w:sz w:val="24"/>
          <w:szCs w:val="24"/>
          <w:lang w:eastAsia="sv-SE"/>
        </w:rPr>
        <w:t xml:space="preserve">Kauno rajono savivaldybės tarybos </w:t>
      </w:r>
    </w:p>
    <w:p w:rsidR="0077145F" w:rsidRDefault="0077145F" w:rsidP="0077145F">
      <w:pPr>
        <w:tabs>
          <w:tab w:val="num" w:pos="0"/>
        </w:tabs>
        <w:ind w:firstLine="4536"/>
        <w:rPr>
          <w:rFonts w:ascii="Times New Roman" w:eastAsiaTheme="minorHAnsi" w:hAnsi="Times New Roman"/>
          <w:sz w:val="24"/>
          <w:szCs w:val="24"/>
          <w:lang w:eastAsia="sv-SE"/>
        </w:rPr>
      </w:pPr>
      <w:r w:rsidRPr="0077145F">
        <w:rPr>
          <w:rFonts w:ascii="Times New Roman" w:eastAsiaTheme="minorHAnsi" w:hAnsi="Times New Roman"/>
          <w:sz w:val="24"/>
          <w:szCs w:val="24"/>
          <w:lang w:eastAsia="sv-SE"/>
        </w:rPr>
        <w:t>2017 m. s</w:t>
      </w:r>
      <w:r>
        <w:rPr>
          <w:rFonts w:ascii="Times New Roman" w:eastAsiaTheme="minorHAnsi" w:hAnsi="Times New Roman"/>
          <w:sz w:val="24"/>
          <w:szCs w:val="24"/>
          <w:lang w:eastAsia="sv-SE"/>
        </w:rPr>
        <w:t>ausio 26 d. sprendimu Nr. TS-49</w:t>
      </w:r>
    </w:p>
    <w:p w:rsidR="0077145F" w:rsidRDefault="0077145F" w:rsidP="0077145F">
      <w:pPr>
        <w:tabs>
          <w:tab w:val="num" w:pos="0"/>
        </w:tabs>
        <w:ind w:firstLine="4536"/>
        <w:rPr>
          <w:rFonts w:ascii="Times New Roman" w:eastAsiaTheme="minorHAnsi" w:hAnsi="Times New Roman"/>
          <w:sz w:val="24"/>
          <w:szCs w:val="24"/>
          <w:lang w:eastAsia="sv-SE"/>
        </w:rPr>
      </w:pPr>
      <w:r w:rsidRPr="0077145F">
        <w:rPr>
          <w:rFonts w:ascii="Times New Roman" w:eastAsiaTheme="minorHAnsi" w:hAnsi="Times New Roman"/>
          <w:sz w:val="24"/>
          <w:szCs w:val="24"/>
          <w:lang w:eastAsia="sv-SE"/>
        </w:rPr>
        <w:t>(201</w:t>
      </w:r>
      <w:r w:rsidRPr="0077145F">
        <w:rPr>
          <w:rFonts w:ascii="Times New Roman" w:eastAsiaTheme="minorHAnsi" w:hAnsi="Times New Roman"/>
          <w:sz w:val="24"/>
          <w:szCs w:val="24"/>
          <w:lang w:val="en-US" w:eastAsia="sv-SE"/>
        </w:rPr>
        <w:t>8</w:t>
      </w:r>
      <w:r w:rsidRPr="0077145F">
        <w:rPr>
          <w:rFonts w:ascii="Times New Roman" w:eastAsiaTheme="minorHAnsi" w:hAnsi="Times New Roman"/>
          <w:sz w:val="24"/>
          <w:szCs w:val="24"/>
          <w:lang w:eastAsia="sv-SE"/>
        </w:rPr>
        <w:t xml:space="preserve"> m. vasario 22 d. sprendimo Nr. TS-</w:t>
      </w:r>
      <w:r w:rsidR="000170E3">
        <w:rPr>
          <w:rFonts w:ascii="Times New Roman" w:eastAsiaTheme="minorHAnsi" w:hAnsi="Times New Roman"/>
          <w:sz w:val="24"/>
          <w:szCs w:val="24"/>
          <w:lang w:eastAsia="sv-SE"/>
        </w:rPr>
        <w:t>55</w:t>
      </w:r>
      <w:r>
        <w:rPr>
          <w:rFonts w:ascii="Times New Roman" w:eastAsiaTheme="minorHAnsi" w:hAnsi="Times New Roman"/>
          <w:sz w:val="24"/>
          <w:szCs w:val="24"/>
          <w:lang w:eastAsia="sv-SE"/>
        </w:rPr>
        <w:t xml:space="preserve">     </w:t>
      </w:r>
    </w:p>
    <w:p w:rsidR="0077145F" w:rsidRPr="0077145F" w:rsidRDefault="0077145F" w:rsidP="0077145F">
      <w:pPr>
        <w:tabs>
          <w:tab w:val="num" w:pos="0"/>
        </w:tabs>
        <w:ind w:firstLine="4536"/>
        <w:rPr>
          <w:rFonts w:ascii="Times New Roman" w:eastAsiaTheme="minorHAnsi" w:hAnsi="Times New Roman"/>
          <w:sz w:val="24"/>
          <w:szCs w:val="24"/>
          <w:lang w:eastAsia="sv-SE"/>
        </w:rPr>
      </w:pPr>
      <w:r w:rsidRPr="0077145F">
        <w:rPr>
          <w:rFonts w:ascii="Times New Roman" w:eastAsiaTheme="minorHAnsi" w:hAnsi="Times New Roman"/>
          <w:sz w:val="24"/>
          <w:szCs w:val="24"/>
          <w:lang w:eastAsia="sv-SE"/>
        </w:rPr>
        <w:t>redakcija)</w:t>
      </w:r>
    </w:p>
    <w:p w:rsidR="0077145F" w:rsidRPr="0077145F" w:rsidRDefault="0077145F" w:rsidP="0077145F">
      <w:pPr>
        <w:spacing w:line="360" w:lineRule="auto"/>
        <w:rPr>
          <w:rFonts w:ascii="Times New Roman" w:eastAsiaTheme="minorHAnsi" w:hAnsi="Times New Roman"/>
          <w:sz w:val="24"/>
          <w:szCs w:val="24"/>
          <w:lang w:eastAsia="en-US"/>
        </w:rPr>
      </w:pPr>
    </w:p>
    <w:p w:rsidR="0077145F" w:rsidRPr="0077145F" w:rsidRDefault="0077145F" w:rsidP="0077145F">
      <w:pPr>
        <w:spacing w:line="360" w:lineRule="auto"/>
        <w:rPr>
          <w:rFonts w:ascii="Times New Roman" w:eastAsiaTheme="minorHAnsi" w:hAnsi="Times New Roman"/>
          <w:sz w:val="24"/>
          <w:szCs w:val="24"/>
          <w:lang w:eastAsia="en-US"/>
        </w:rPr>
      </w:pPr>
    </w:p>
    <w:p w:rsidR="0077145F" w:rsidRPr="0077145F" w:rsidRDefault="0077145F" w:rsidP="0077145F">
      <w:pPr>
        <w:jc w:val="center"/>
        <w:rPr>
          <w:rFonts w:ascii="Times New Roman" w:eastAsiaTheme="minorHAnsi" w:hAnsi="Times New Roman"/>
          <w:sz w:val="24"/>
          <w:szCs w:val="24"/>
          <w:lang w:eastAsia="en-US"/>
        </w:rPr>
      </w:pPr>
      <w:r w:rsidRPr="0077145F">
        <w:rPr>
          <w:rFonts w:ascii="Times New Roman" w:eastAsiaTheme="minorHAnsi" w:hAnsi="Times New Roman"/>
          <w:b/>
          <w:caps/>
          <w:sz w:val="24"/>
          <w:szCs w:val="24"/>
        </w:rPr>
        <w:t>KOMUNALINIŲ ATLIEKŲ TVARKYMO KAINA IR DVINARĖS ĮMOKOS UŽ KOMUNALINIŲ ATLIEKŲ SURINKIMĄ IR TVARKYMĄ DYDŽIAI, ATLIEKŲ SUSIDARYMO NORMOS</w:t>
      </w:r>
    </w:p>
    <w:p w:rsidR="0077145F" w:rsidRPr="0077145F" w:rsidRDefault="0077145F" w:rsidP="0077145F">
      <w:pPr>
        <w:spacing w:after="200" w:line="276" w:lineRule="auto"/>
        <w:rPr>
          <w:rFonts w:asciiTheme="minorHAnsi" w:eastAsiaTheme="minorHAnsi" w:hAnsiTheme="minorHAnsi" w:cstheme="minorBidi"/>
          <w:sz w:val="22"/>
          <w:szCs w:val="22"/>
          <w:lang w:eastAsia="en-US"/>
        </w:rPr>
      </w:pPr>
    </w:p>
    <w:p w:rsidR="0077145F" w:rsidRPr="0077145F" w:rsidRDefault="0077145F" w:rsidP="005923BA">
      <w:pPr>
        <w:numPr>
          <w:ilvl w:val="0"/>
          <w:numId w:val="3"/>
        </w:numPr>
        <w:spacing w:after="200" w:line="276" w:lineRule="auto"/>
        <w:rPr>
          <w:rFonts w:ascii="Times New Roman" w:eastAsiaTheme="minorHAnsi" w:hAnsi="Times New Roman"/>
          <w:b/>
          <w:bCs/>
          <w:sz w:val="24"/>
          <w:szCs w:val="24"/>
          <w:lang w:eastAsia="en-US"/>
        </w:rPr>
      </w:pPr>
      <w:r w:rsidRPr="0077145F">
        <w:rPr>
          <w:rFonts w:ascii="Times New Roman" w:eastAsiaTheme="minorHAnsi" w:hAnsi="Times New Roman"/>
          <w:b/>
          <w:bCs/>
          <w:sz w:val="24"/>
          <w:szCs w:val="24"/>
          <w:lang w:eastAsia="en-US"/>
        </w:rPr>
        <w:t>Komunalinių atliekų susidarymo normos:</w:t>
      </w:r>
    </w:p>
    <w:p w:rsidR="0077145F" w:rsidRPr="0077145F" w:rsidRDefault="0077145F" w:rsidP="0077145F">
      <w:pPr>
        <w:rPr>
          <w:rFonts w:ascii="Times New Roman" w:eastAsiaTheme="minorHAnsi" w:hAnsi="Times New Roman"/>
          <w:b/>
          <w:sz w:val="24"/>
          <w:szCs w:val="24"/>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77145F" w:rsidRPr="0077145F" w:rsidTr="0077145F">
        <w:trPr>
          <w:trHeight w:val="146"/>
        </w:trPr>
        <w:tc>
          <w:tcPr>
            <w:tcW w:w="4536" w:type="dxa"/>
            <w:vAlign w:val="center"/>
          </w:tcPr>
          <w:p w:rsidR="0077145F" w:rsidRPr="0077145F" w:rsidRDefault="0077145F" w:rsidP="0077145F">
            <w:pPr>
              <w:rPr>
                <w:rFonts w:ascii="Times New Roman" w:eastAsiaTheme="minorHAnsi" w:hAnsi="Times New Roman"/>
                <w:b/>
                <w:bCs/>
                <w:sz w:val="24"/>
                <w:szCs w:val="24"/>
                <w:lang w:eastAsia="en-US"/>
              </w:rPr>
            </w:pPr>
            <w:r w:rsidRPr="0077145F">
              <w:rPr>
                <w:rFonts w:ascii="Times New Roman" w:eastAsiaTheme="minorHAnsi" w:hAnsi="Times New Roman"/>
                <w:b/>
                <w:bCs/>
                <w:sz w:val="24"/>
                <w:szCs w:val="24"/>
                <w:lang w:eastAsia="en-US"/>
              </w:rPr>
              <w:t>Atliekų turėtojų grupė</w:t>
            </w:r>
          </w:p>
        </w:tc>
        <w:tc>
          <w:tcPr>
            <w:tcW w:w="4820" w:type="dxa"/>
            <w:tcBorders>
              <w:bottom w:val="single" w:sz="4" w:space="0" w:color="auto"/>
            </w:tcBorders>
            <w:shd w:val="clear" w:color="auto" w:fill="auto"/>
            <w:vAlign w:val="center"/>
          </w:tcPr>
          <w:p w:rsidR="0077145F" w:rsidRPr="0077145F" w:rsidRDefault="0077145F" w:rsidP="0077145F">
            <w:pPr>
              <w:rPr>
                <w:rFonts w:ascii="Times New Roman" w:eastAsiaTheme="minorHAnsi" w:hAnsi="Times New Roman"/>
                <w:b/>
                <w:sz w:val="24"/>
                <w:szCs w:val="24"/>
                <w:lang w:eastAsia="en-US"/>
              </w:rPr>
            </w:pPr>
            <w:r w:rsidRPr="0077145F">
              <w:rPr>
                <w:rFonts w:ascii="Times New Roman" w:eastAsiaTheme="minorHAnsi" w:hAnsi="Times New Roman"/>
                <w:b/>
                <w:bCs/>
                <w:sz w:val="24"/>
                <w:szCs w:val="24"/>
                <w:lang w:eastAsia="en-US"/>
              </w:rPr>
              <w:t>Komunalinių atliekų susidarymo norma</w:t>
            </w:r>
          </w:p>
        </w:tc>
      </w:tr>
      <w:tr w:rsidR="0077145F" w:rsidRPr="0077145F" w:rsidTr="0077145F">
        <w:trPr>
          <w:trHeight w:val="146"/>
        </w:trPr>
        <w:tc>
          <w:tcPr>
            <w:tcW w:w="4536" w:type="dxa"/>
            <w:tcBorders>
              <w:right w:val="single" w:sz="4" w:space="0" w:color="auto"/>
            </w:tcBorders>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bCs/>
                <w:sz w:val="24"/>
                <w:szCs w:val="24"/>
                <w:lang w:eastAsia="en-US"/>
              </w:rPr>
              <w:t>Gyventojai (butas)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sz w:val="24"/>
                <w:szCs w:val="24"/>
                <w:lang w:eastAsia="en-US"/>
              </w:rPr>
              <w:t>2,00 m</w:t>
            </w:r>
            <w:r w:rsidRPr="0077145F">
              <w:rPr>
                <w:rFonts w:ascii="Times New Roman" w:eastAsiaTheme="minorHAnsi" w:hAnsi="Times New Roman"/>
                <w:sz w:val="24"/>
                <w:szCs w:val="24"/>
                <w:vertAlign w:val="superscript"/>
                <w:lang w:eastAsia="en-US"/>
              </w:rPr>
              <w:t>3</w:t>
            </w:r>
            <w:r w:rsidRPr="0077145F">
              <w:rPr>
                <w:rFonts w:ascii="Times New Roman" w:eastAsiaTheme="minorHAnsi" w:hAnsi="Times New Roman"/>
                <w:sz w:val="24"/>
                <w:szCs w:val="24"/>
                <w:lang w:eastAsia="en-US"/>
              </w:rPr>
              <w:t xml:space="preserve"> gyvent. per metus</w:t>
            </w:r>
          </w:p>
        </w:tc>
      </w:tr>
      <w:tr w:rsidR="0077145F" w:rsidRPr="0077145F" w:rsidTr="0077145F">
        <w:trPr>
          <w:trHeight w:val="306"/>
        </w:trPr>
        <w:tc>
          <w:tcPr>
            <w:tcW w:w="4536" w:type="dxa"/>
            <w:tcBorders>
              <w:right w:val="single" w:sz="4" w:space="0" w:color="auto"/>
            </w:tcBorders>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bCs/>
                <w:sz w:val="24"/>
                <w:szCs w:val="24"/>
                <w:lang w:eastAsia="en-US"/>
              </w:rPr>
              <w:t>Gyventojai (individuali namų valda)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sz w:val="24"/>
                <w:szCs w:val="24"/>
                <w:lang w:eastAsia="en-US"/>
              </w:rPr>
              <w:t>1,10 m</w:t>
            </w:r>
            <w:r w:rsidRPr="0077145F">
              <w:rPr>
                <w:rFonts w:ascii="Times New Roman" w:eastAsiaTheme="minorHAnsi" w:hAnsi="Times New Roman"/>
                <w:sz w:val="24"/>
                <w:szCs w:val="24"/>
                <w:vertAlign w:val="superscript"/>
                <w:lang w:eastAsia="en-US"/>
              </w:rPr>
              <w:t>3</w:t>
            </w:r>
            <w:r w:rsidRPr="0077145F">
              <w:rPr>
                <w:rFonts w:ascii="Times New Roman" w:eastAsiaTheme="minorHAnsi" w:hAnsi="Times New Roman"/>
                <w:sz w:val="24"/>
                <w:szCs w:val="24"/>
                <w:lang w:eastAsia="en-US"/>
              </w:rPr>
              <w:t xml:space="preserve"> gyvent. per metus</w:t>
            </w:r>
          </w:p>
        </w:tc>
      </w:tr>
      <w:tr w:rsidR="0077145F" w:rsidRPr="0077145F" w:rsidTr="0077145F">
        <w:trPr>
          <w:trHeight w:val="146"/>
        </w:trPr>
        <w:tc>
          <w:tcPr>
            <w:tcW w:w="4536" w:type="dxa"/>
            <w:tcBorders>
              <w:right w:val="single" w:sz="4" w:space="0" w:color="auto"/>
            </w:tcBorders>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bCs/>
                <w:sz w:val="24"/>
                <w:szCs w:val="24"/>
                <w:lang w:eastAsia="en-US"/>
              </w:rPr>
              <w:t>Juridiniai asmenys, kurie naudojasi kolektyviniais konteineriais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7145F" w:rsidRPr="0077145F" w:rsidRDefault="0077145F" w:rsidP="0077145F">
            <w:pPr>
              <w:rPr>
                <w:rFonts w:ascii="Times New Roman" w:eastAsiaTheme="minorHAnsi" w:hAnsi="Times New Roman"/>
                <w:bCs/>
                <w:sz w:val="24"/>
                <w:szCs w:val="24"/>
                <w:lang w:eastAsia="en-US"/>
              </w:rPr>
            </w:pPr>
            <w:r w:rsidRPr="0077145F">
              <w:rPr>
                <w:rFonts w:ascii="Times New Roman" w:eastAsiaTheme="minorHAnsi" w:hAnsi="Times New Roman"/>
                <w:sz w:val="24"/>
                <w:szCs w:val="24"/>
                <w:lang w:val="ru-RU" w:eastAsia="en-US"/>
              </w:rPr>
              <w:t>0</w:t>
            </w:r>
            <w:r w:rsidRPr="0077145F">
              <w:rPr>
                <w:rFonts w:ascii="Times New Roman" w:eastAsiaTheme="minorHAnsi" w:hAnsi="Times New Roman"/>
                <w:sz w:val="24"/>
                <w:szCs w:val="24"/>
                <w:lang w:eastAsia="en-US"/>
              </w:rPr>
              <w:t>,</w:t>
            </w:r>
            <w:r w:rsidRPr="0077145F">
              <w:rPr>
                <w:rFonts w:ascii="Times New Roman" w:eastAsiaTheme="minorHAnsi" w:hAnsi="Times New Roman"/>
                <w:sz w:val="24"/>
                <w:szCs w:val="24"/>
                <w:lang w:val="ru-RU" w:eastAsia="en-US"/>
              </w:rPr>
              <w:t>3</w:t>
            </w:r>
            <w:r w:rsidRPr="0077145F">
              <w:rPr>
                <w:rFonts w:ascii="Times New Roman" w:eastAsiaTheme="minorHAnsi" w:hAnsi="Times New Roman"/>
                <w:sz w:val="24"/>
                <w:szCs w:val="24"/>
                <w:lang w:eastAsia="en-US"/>
              </w:rPr>
              <w:t>0 m</w:t>
            </w:r>
            <w:r w:rsidRPr="0077145F">
              <w:rPr>
                <w:rFonts w:ascii="Times New Roman" w:eastAsiaTheme="minorHAnsi" w:hAnsi="Times New Roman"/>
                <w:sz w:val="24"/>
                <w:szCs w:val="24"/>
                <w:vertAlign w:val="superscript"/>
                <w:lang w:eastAsia="en-US"/>
              </w:rPr>
              <w:t>3</w:t>
            </w:r>
            <w:r w:rsidR="00115FBC">
              <w:rPr>
                <w:rFonts w:ascii="Times New Roman" w:eastAsiaTheme="minorHAnsi" w:hAnsi="Times New Roman"/>
                <w:sz w:val="24"/>
                <w:szCs w:val="24"/>
                <w:lang w:eastAsia="en-US"/>
              </w:rPr>
              <w:t xml:space="preserve"> darbuot.</w:t>
            </w:r>
            <w:r w:rsidRPr="0077145F">
              <w:rPr>
                <w:rFonts w:ascii="Times New Roman" w:eastAsiaTheme="minorHAnsi" w:hAnsi="Times New Roman"/>
                <w:sz w:val="24"/>
                <w:szCs w:val="24"/>
                <w:lang w:eastAsia="en-US"/>
              </w:rPr>
              <w:t xml:space="preserve"> per metus</w:t>
            </w:r>
          </w:p>
        </w:tc>
      </w:tr>
    </w:tbl>
    <w:p w:rsidR="0077145F" w:rsidRPr="0077145F" w:rsidRDefault="0077145F" w:rsidP="0077145F">
      <w:pPr>
        <w:rPr>
          <w:rFonts w:ascii="Times New Roman" w:eastAsiaTheme="minorHAnsi" w:hAnsi="Times New Roman"/>
          <w:b/>
          <w:sz w:val="24"/>
          <w:szCs w:val="24"/>
          <w:lang w:eastAsia="en-US"/>
        </w:rPr>
      </w:pPr>
    </w:p>
    <w:p w:rsidR="0077145F" w:rsidRPr="0077145F" w:rsidRDefault="0077145F" w:rsidP="0077145F">
      <w:pPr>
        <w:ind w:left="360"/>
        <w:rPr>
          <w:rFonts w:ascii="Times New Roman" w:eastAsiaTheme="minorHAnsi" w:hAnsi="Times New Roman"/>
          <w:b/>
          <w:sz w:val="24"/>
          <w:szCs w:val="24"/>
          <w:lang w:eastAsia="en-US"/>
        </w:rPr>
      </w:pPr>
    </w:p>
    <w:p w:rsidR="0077145F" w:rsidRPr="0077145F" w:rsidRDefault="0077145F" w:rsidP="005923BA">
      <w:pPr>
        <w:numPr>
          <w:ilvl w:val="0"/>
          <w:numId w:val="3"/>
        </w:numPr>
        <w:spacing w:after="200" w:line="276" w:lineRule="auto"/>
        <w:contextualSpacing/>
        <w:rPr>
          <w:rFonts w:ascii="Times New Roman" w:eastAsiaTheme="minorHAnsi" w:hAnsi="Times New Roman"/>
          <w:b/>
          <w:sz w:val="24"/>
          <w:szCs w:val="24"/>
          <w:lang w:eastAsia="en-US"/>
        </w:rPr>
      </w:pPr>
      <w:r w:rsidRPr="0077145F">
        <w:rPr>
          <w:rFonts w:ascii="Times New Roman" w:eastAsiaTheme="minorHAnsi" w:hAnsi="Times New Roman"/>
          <w:b/>
          <w:sz w:val="24"/>
          <w:szCs w:val="24"/>
          <w:lang w:eastAsia="en-US"/>
        </w:rPr>
        <w:t>Dvinarės įmokos dydžiai, Eur su PVM:</w:t>
      </w:r>
    </w:p>
    <w:p w:rsidR="0077145F" w:rsidRPr="0077145F" w:rsidRDefault="0077145F" w:rsidP="0077145F">
      <w:pPr>
        <w:rPr>
          <w:rFonts w:ascii="Times New Roman" w:eastAsiaTheme="minorHAnsi" w:hAnsi="Times New Roman"/>
          <w:b/>
          <w:sz w:val="24"/>
          <w:szCs w:val="24"/>
          <w:lang w:eastAsia="en-US"/>
        </w:rPr>
      </w:pPr>
    </w:p>
    <w:p w:rsidR="0077145F" w:rsidRPr="0077145F" w:rsidRDefault="0077145F" w:rsidP="0077145F">
      <w:pPr>
        <w:ind w:hanging="142"/>
        <w:rPr>
          <w:rFonts w:ascii="Times New Roman" w:eastAsiaTheme="minorHAnsi" w:hAnsi="Times New Roman"/>
          <w:b/>
          <w:sz w:val="24"/>
          <w:szCs w:val="24"/>
          <w:lang w:eastAsia="en-US"/>
        </w:rPr>
      </w:pPr>
      <w:r w:rsidRPr="0077145F">
        <w:rPr>
          <w:rFonts w:ascii="Times New Roman" w:eastAsiaTheme="minorHAnsi" w:hAnsi="Times New Roman"/>
          <w:b/>
          <w:sz w:val="24"/>
          <w:szCs w:val="24"/>
          <w:lang w:eastAsia="en-US"/>
        </w:rPr>
        <w:t>Nekilnojamojo turto objektai, kurie naudojasi individualiais konteineriais</w:t>
      </w:r>
    </w:p>
    <w:p w:rsidR="0077145F" w:rsidRPr="0077145F" w:rsidRDefault="0077145F" w:rsidP="0077145F">
      <w:pPr>
        <w:ind w:hanging="142"/>
        <w:rPr>
          <w:rFonts w:ascii="Times New Roman" w:eastAsiaTheme="minorHAnsi" w:hAnsi="Times New Roman"/>
          <w:b/>
          <w:sz w:val="24"/>
          <w:szCs w:val="24"/>
          <w:lang w:eastAsia="en-US"/>
        </w:rPr>
      </w:pPr>
    </w:p>
    <w:tbl>
      <w:tblPr>
        <w:tblStyle w:val="Lentelstinklelis2"/>
        <w:tblW w:w="9322" w:type="dxa"/>
        <w:tblLayout w:type="fixed"/>
        <w:tblLook w:val="04A0" w:firstRow="1" w:lastRow="0" w:firstColumn="1" w:lastColumn="0" w:noHBand="0" w:noVBand="1"/>
      </w:tblPr>
      <w:tblGrid>
        <w:gridCol w:w="1443"/>
        <w:gridCol w:w="1217"/>
        <w:gridCol w:w="3260"/>
        <w:gridCol w:w="3402"/>
      </w:tblGrid>
      <w:tr w:rsidR="0077145F" w:rsidRPr="0077145F" w:rsidTr="0077145F">
        <w:tc>
          <w:tcPr>
            <w:tcW w:w="9322" w:type="dxa"/>
            <w:gridSpan w:val="4"/>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Gyvenamosios paskirties ir sodų paskirties objektai</w:t>
            </w:r>
          </w:p>
          <w:p w:rsidR="0077145F" w:rsidRPr="0077145F" w:rsidRDefault="0077145F" w:rsidP="0077145F">
            <w:pPr>
              <w:rPr>
                <w:rFonts w:asciiTheme="minorHAnsi" w:hAnsiTheme="minorHAnsi"/>
                <w:sz w:val="22"/>
              </w:rPr>
            </w:pPr>
          </w:p>
        </w:tc>
      </w:tr>
      <w:tr w:rsidR="0077145F" w:rsidRPr="0077145F" w:rsidTr="0077145F">
        <w:tc>
          <w:tcPr>
            <w:tcW w:w="1443" w:type="dxa"/>
            <w:vMerge w:val="restart"/>
          </w:tcPr>
          <w:p w:rsidR="0077145F" w:rsidRPr="0077145F" w:rsidRDefault="0077145F" w:rsidP="0077145F">
            <w:pPr>
              <w:rPr>
                <w:rFonts w:asciiTheme="minorHAnsi" w:hAnsiTheme="minorHAnsi"/>
                <w:sz w:val="22"/>
              </w:rPr>
            </w:pPr>
            <w:r w:rsidRPr="0077145F">
              <w:rPr>
                <w:rFonts w:ascii="Times New Roman" w:hAnsi="Times New Roman"/>
                <w:b/>
                <w:sz w:val="24"/>
                <w:szCs w:val="24"/>
              </w:rPr>
              <w:t>Konteinerio talpa, l</w:t>
            </w:r>
          </w:p>
        </w:tc>
        <w:tc>
          <w:tcPr>
            <w:tcW w:w="1217" w:type="dxa"/>
            <w:vMerge w:val="restart"/>
          </w:tcPr>
          <w:p w:rsidR="0077145F" w:rsidRPr="0077145F" w:rsidRDefault="0077145F" w:rsidP="0077145F">
            <w:pPr>
              <w:rPr>
                <w:rFonts w:ascii="Times New Roman" w:hAnsi="Times New Roman"/>
                <w:b/>
                <w:sz w:val="24"/>
                <w:szCs w:val="24"/>
              </w:rPr>
            </w:pPr>
            <w:r w:rsidRPr="0077145F">
              <w:rPr>
                <w:rFonts w:ascii="Times New Roman" w:hAnsi="Times New Roman"/>
                <w:b/>
                <w:sz w:val="24"/>
                <w:szCs w:val="24"/>
              </w:rPr>
              <w:t>Išvežimų skaičius per metus</w:t>
            </w:r>
          </w:p>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DVĮ pastovioji dedamoji, Eur</w:t>
            </w:r>
          </w:p>
        </w:tc>
        <w:tc>
          <w:tcPr>
            <w:tcW w:w="3402" w:type="dxa"/>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DVĮ kintamoji dedamoji pagal konteinerio dydį ir išvežimų skaičių, Eur</w:t>
            </w:r>
          </w:p>
        </w:tc>
      </w:tr>
      <w:tr w:rsidR="0077145F" w:rsidRPr="0077145F" w:rsidTr="0077145F">
        <w:tc>
          <w:tcPr>
            <w:tcW w:w="1443" w:type="dxa"/>
            <w:vMerge/>
          </w:tcPr>
          <w:p w:rsidR="0077145F" w:rsidRPr="0077145F" w:rsidRDefault="0077145F" w:rsidP="0077145F">
            <w:pPr>
              <w:rPr>
                <w:rFonts w:asciiTheme="minorHAnsi" w:hAnsiTheme="minorHAnsi"/>
                <w:sz w:val="22"/>
              </w:rPr>
            </w:pPr>
          </w:p>
        </w:tc>
        <w:tc>
          <w:tcPr>
            <w:tcW w:w="1217" w:type="dxa"/>
            <w:vMerge/>
          </w:tcPr>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c>
          <w:tcPr>
            <w:tcW w:w="3402"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1,38</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2,09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3,01</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1,61</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3,51</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7,03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2,20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3,30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4,77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9,56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2,78</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4,17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12,07</w:t>
            </w:r>
          </w:p>
        </w:tc>
      </w:tr>
    </w:tbl>
    <w:p w:rsidR="0077145F" w:rsidRPr="0077145F" w:rsidRDefault="0077145F" w:rsidP="0077145F">
      <w:pPr>
        <w:rPr>
          <w:rFonts w:ascii="Times New Roman" w:eastAsiaTheme="minorHAnsi" w:hAnsi="Times New Roman"/>
          <w:sz w:val="24"/>
          <w:szCs w:val="24"/>
          <w:lang w:eastAsia="en-US"/>
        </w:rPr>
      </w:pPr>
    </w:p>
    <w:p w:rsidR="0077145F" w:rsidRPr="0077145F" w:rsidRDefault="0077145F" w:rsidP="0077145F">
      <w:pPr>
        <w:ind w:hanging="142"/>
        <w:rPr>
          <w:rFonts w:ascii="Times New Roman" w:eastAsiaTheme="minorHAnsi" w:hAnsi="Times New Roman"/>
          <w:b/>
          <w:sz w:val="24"/>
          <w:szCs w:val="24"/>
          <w:lang w:eastAsia="en-US"/>
        </w:rPr>
      </w:pPr>
      <w:r w:rsidRPr="0077145F">
        <w:rPr>
          <w:rFonts w:ascii="Times New Roman" w:eastAsiaTheme="minorHAnsi" w:hAnsi="Times New Roman"/>
          <w:b/>
          <w:sz w:val="24"/>
          <w:szCs w:val="24"/>
          <w:lang w:eastAsia="en-US"/>
        </w:rPr>
        <w:lastRenderedPageBreak/>
        <w:t>Nekilnojamojo turto objektai, kurie naudojasi kolektyviniais konteineriais</w:t>
      </w:r>
    </w:p>
    <w:p w:rsidR="0077145F" w:rsidRPr="0077145F" w:rsidRDefault="0077145F" w:rsidP="0077145F">
      <w:pPr>
        <w:ind w:hanging="142"/>
        <w:rPr>
          <w:rFonts w:ascii="Times New Roman" w:eastAsiaTheme="minorHAnsi" w:hAnsi="Times New Roman"/>
          <w:b/>
          <w:sz w:val="24"/>
          <w:szCs w:val="24"/>
          <w:lang w:eastAsia="en-US"/>
        </w:rPr>
      </w:pPr>
    </w:p>
    <w:tbl>
      <w:tblPr>
        <w:tblStyle w:val="Lentelstinklelis2"/>
        <w:tblW w:w="9322" w:type="dxa"/>
        <w:tblLayout w:type="fixed"/>
        <w:tblLook w:val="04A0" w:firstRow="1" w:lastRow="0" w:firstColumn="1" w:lastColumn="0" w:noHBand="0" w:noVBand="1"/>
      </w:tblPr>
      <w:tblGrid>
        <w:gridCol w:w="1443"/>
        <w:gridCol w:w="1217"/>
        <w:gridCol w:w="3260"/>
        <w:gridCol w:w="3402"/>
      </w:tblGrid>
      <w:tr w:rsidR="0077145F" w:rsidRPr="0077145F" w:rsidTr="0077145F">
        <w:tc>
          <w:tcPr>
            <w:tcW w:w="9322" w:type="dxa"/>
            <w:gridSpan w:val="4"/>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Gyvenamosios paskirties ir sodų paskirties objektai</w:t>
            </w:r>
          </w:p>
          <w:p w:rsidR="0077145F" w:rsidRPr="0077145F" w:rsidRDefault="0077145F" w:rsidP="0077145F">
            <w:pPr>
              <w:rPr>
                <w:rFonts w:asciiTheme="minorHAnsi" w:hAnsiTheme="minorHAnsi"/>
                <w:sz w:val="22"/>
              </w:rPr>
            </w:pPr>
          </w:p>
        </w:tc>
      </w:tr>
      <w:tr w:rsidR="0077145F" w:rsidRPr="0077145F" w:rsidTr="0077145F">
        <w:tc>
          <w:tcPr>
            <w:tcW w:w="1443" w:type="dxa"/>
            <w:vMerge w:val="restart"/>
          </w:tcPr>
          <w:p w:rsidR="0077145F" w:rsidRPr="0077145F" w:rsidRDefault="0077145F" w:rsidP="0077145F">
            <w:pPr>
              <w:rPr>
                <w:rFonts w:asciiTheme="minorHAnsi" w:hAnsiTheme="minorHAnsi"/>
                <w:sz w:val="22"/>
              </w:rPr>
            </w:pPr>
            <w:r w:rsidRPr="0077145F">
              <w:rPr>
                <w:rFonts w:ascii="Times New Roman" w:hAnsi="Times New Roman"/>
                <w:b/>
                <w:sz w:val="24"/>
                <w:szCs w:val="24"/>
              </w:rPr>
              <w:t>Konteinerio talpa, l</w:t>
            </w:r>
          </w:p>
        </w:tc>
        <w:tc>
          <w:tcPr>
            <w:tcW w:w="1217" w:type="dxa"/>
            <w:vMerge w:val="restart"/>
          </w:tcPr>
          <w:p w:rsidR="0077145F" w:rsidRPr="0077145F" w:rsidRDefault="0077145F" w:rsidP="0077145F">
            <w:pPr>
              <w:rPr>
                <w:rFonts w:ascii="Times New Roman" w:hAnsi="Times New Roman"/>
                <w:b/>
                <w:sz w:val="24"/>
                <w:szCs w:val="24"/>
              </w:rPr>
            </w:pPr>
            <w:r w:rsidRPr="0077145F">
              <w:rPr>
                <w:rFonts w:ascii="Times New Roman" w:hAnsi="Times New Roman"/>
                <w:b/>
                <w:sz w:val="24"/>
                <w:szCs w:val="24"/>
              </w:rPr>
              <w:t>Išvežimų skaičius per metus</w:t>
            </w:r>
          </w:p>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DVĮ pastovioji dedamoji, Eur</w:t>
            </w:r>
          </w:p>
        </w:tc>
        <w:tc>
          <w:tcPr>
            <w:tcW w:w="3402" w:type="dxa"/>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DVĮ kintamoji dedamoji pagal konteinerio dydį ir išvežimų skaičių, Eur</w:t>
            </w:r>
          </w:p>
        </w:tc>
      </w:tr>
      <w:tr w:rsidR="0077145F" w:rsidRPr="0077145F" w:rsidTr="0077145F">
        <w:tc>
          <w:tcPr>
            <w:tcW w:w="1443" w:type="dxa"/>
            <w:vMerge/>
          </w:tcPr>
          <w:p w:rsidR="0077145F" w:rsidRPr="0077145F" w:rsidRDefault="0077145F" w:rsidP="0077145F">
            <w:pPr>
              <w:rPr>
                <w:rFonts w:asciiTheme="minorHAnsi" w:hAnsiTheme="minorHAnsi"/>
                <w:sz w:val="22"/>
              </w:rPr>
            </w:pPr>
          </w:p>
        </w:tc>
        <w:tc>
          <w:tcPr>
            <w:tcW w:w="1217" w:type="dxa"/>
            <w:vMerge/>
          </w:tcPr>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c>
          <w:tcPr>
            <w:tcW w:w="3402"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6,68</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10,02</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14,47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28,96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11,13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16,70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24,13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48,27</w:t>
            </w:r>
          </w:p>
        </w:tc>
      </w:tr>
    </w:tbl>
    <w:p w:rsidR="0077145F" w:rsidRPr="0077145F" w:rsidRDefault="0077145F" w:rsidP="0077145F">
      <w:pPr>
        <w:rPr>
          <w:rFonts w:ascii="Times New Roman" w:eastAsiaTheme="minorHAnsi" w:hAnsi="Times New Roman"/>
          <w:b/>
          <w:sz w:val="24"/>
          <w:szCs w:val="24"/>
          <w:lang w:eastAsia="en-US"/>
        </w:rPr>
      </w:pPr>
    </w:p>
    <w:p w:rsidR="0077145F" w:rsidRPr="0077145F" w:rsidRDefault="0077145F" w:rsidP="0077145F">
      <w:pPr>
        <w:rPr>
          <w:rFonts w:ascii="Times New Roman" w:eastAsiaTheme="minorHAnsi" w:hAnsi="Times New Roman"/>
          <w:b/>
          <w:sz w:val="24"/>
          <w:szCs w:val="24"/>
          <w:lang w:eastAsia="en-US"/>
        </w:rPr>
      </w:pPr>
    </w:p>
    <w:p w:rsidR="0077145F" w:rsidRPr="0077145F" w:rsidRDefault="0077145F" w:rsidP="0077145F">
      <w:pPr>
        <w:ind w:left="-142"/>
        <w:jc w:val="both"/>
        <w:rPr>
          <w:rFonts w:ascii="Times New Roman" w:eastAsiaTheme="minorHAnsi" w:hAnsi="Times New Roman"/>
          <w:b/>
          <w:sz w:val="24"/>
          <w:szCs w:val="24"/>
          <w:lang w:eastAsia="en-US"/>
        </w:rPr>
      </w:pPr>
      <w:r w:rsidRPr="0077145F">
        <w:rPr>
          <w:rFonts w:ascii="Times New Roman" w:eastAsiaTheme="minorHAnsi" w:hAnsi="Times New Roman"/>
          <w:b/>
          <w:sz w:val="24"/>
          <w:szCs w:val="24"/>
          <w:lang w:eastAsia="en-US"/>
        </w:rPr>
        <w:t>Juridinių asmenų nekilnojamojo turto objektai, kurie naudojasi individualiais ar kolektyviniais konteineriais</w:t>
      </w:r>
    </w:p>
    <w:p w:rsidR="0077145F" w:rsidRPr="0077145F" w:rsidRDefault="0077145F" w:rsidP="0077145F">
      <w:pPr>
        <w:ind w:hanging="142"/>
        <w:jc w:val="both"/>
        <w:rPr>
          <w:rFonts w:ascii="Times New Roman" w:eastAsiaTheme="minorHAnsi" w:hAnsi="Times New Roman"/>
          <w:b/>
          <w:sz w:val="24"/>
          <w:szCs w:val="24"/>
          <w:lang w:eastAsia="en-US"/>
        </w:rPr>
      </w:pPr>
    </w:p>
    <w:tbl>
      <w:tblPr>
        <w:tblStyle w:val="Lentelstinklelis2"/>
        <w:tblW w:w="9322" w:type="dxa"/>
        <w:tblLayout w:type="fixed"/>
        <w:tblLook w:val="04A0" w:firstRow="1" w:lastRow="0" w:firstColumn="1" w:lastColumn="0" w:noHBand="0" w:noVBand="1"/>
      </w:tblPr>
      <w:tblGrid>
        <w:gridCol w:w="1443"/>
        <w:gridCol w:w="1217"/>
        <w:gridCol w:w="3260"/>
        <w:gridCol w:w="3402"/>
      </w:tblGrid>
      <w:tr w:rsidR="0077145F" w:rsidRPr="0077145F" w:rsidTr="0077145F">
        <w:tc>
          <w:tcPr>
            <w:tcW w:w="9322" w:type="dxa"/>
            <w:gridSpan w:val="4"/>
          </w:tcPr>
          <w:p w:rsidR="0077145F" w:rsidRPr="0077145F" w:rsidRDefault="0077145F" w:rsidP="0077145F">
            <w:pPr>
              <w:jc w:val="center"/>
              <w:rPr>
                <w:rFonts w:ascii="Times New Roman" w:hAnsi="Times New Roman"/>
                <w:b/>
                <w:sz w:val="24"/>
                <w:szCs w:val="24"/>
              </w:rPr>
            </w:pPr>
          </w:p>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Juridinių asmenų nekilnojamojo turto objektai</w:t>
            </w:r>
          </w:p>
        </w:tc>
      </w:tr>
      <w:tr w:rsidR="0077145F" w:rsidRPr="0077145F" w:rsidTr="0077145F">
        <w:tc>
          <w:tcPr>
            <w:tcW w:w="1443" w:type="dxa"/>
            <w:vMerge w:val="restart"/>
          </w:tcPr>
          <w:p w:rsidR="0077145F" w:rsidRPr="0077145F" w:rsidRDefault="0077145F" w:rsidP="0077145F">
            <w:pPr>
              <w:rPr>
                <w:rFonts w:asciiTheme="minorHAnsi" w:hAnsiTheme="minorHAnsi"/>
                <w:sz w:val="22"/>
              </w:rPr>
            </w:pPr>
            <w:r w:rsidRPr="0077145F">
              <w:rPr>
                <w:rFonts w:ascii="Times New Roman" w:hAnsi="Times New Roman"/>
                <w:b/>
                <w:sz w:val="24"/>
                <w:szCs w:val="24"/>
              </w:rPr>
              <w:t>Konteinerio talpa, l</w:t>
            </w:r>
          </w:p>
        </w:tc>
        <w:tc>
          <w:tcPr>
            <w:tcW w:w="1217" w:type="dxa"/>
            <w:vMerge w:val="restart"/>
          </w:tcPr>
          <w:p w:rsidR="0077145F" w:rsidRPr="0077145F" w:rsidRDefault="0077145F" w:rsidP="0077145F">
            <w:pPr>
              <w:rPr>
                <w:rFonts w:ascii="Times New Roman" w:hAnsi="Times New Roman"/>
                <w:b/>
                <w:sz w:val="24"/>
                <w:szCs w:val="24"/>
              </w:rPr>
            </w:pPr>
            <w:r w:rsidRPr="0077145F">
              <w:rPr>
                <w:rFonts w:ascii="Times New Roman" w:hAnsi="Times New Roman"/>
                <w:b/>
                <w:sz w:val="24"/>
                <w:szCs w:val="24"/>
              </w:rPr>
              <w:t>Išvežimų skaičius per metus</w:t>
            </w:r>
          </w:p>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DVĮ pastovioji dedamoji, Eur</w:t>
            </w:r>
          </w:p>
        </w:tc>
        <w:tc>
          <w:tcPr>
            <w:tcW w:w="3402" w:type="dxa"/>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DVĮ kintamoji dedamoji pagal konteinerio dydį ir išvežimų skaičių, Eur</w:t>
            </w:r>
          </w:p>
        </w:tc>
      </w:tr>
      <w:tr w:rsidR="0077145F" w:rsidRPr="0077145F" w:rsidTr="0077145F">
        <w:tc>
          <w:tcPr>
            <w:tcW w:w="1443" w:type="dxa"/>
            <w:vMerge/>
          </w:tcPr>
          <w:p w:rsidR="0077145F" w:rsidRPr="0077145F" w:rsidRDefault="0077145F" w:rsidP="0077145F">
            <w:pPr>
              <w:rPr>
                <w:rFonts w:asciiTheme="minorHAnsi" w:hAnsiTheme="minorHAnsi"/>
                <w:sz w:val="22"/>
              </w:rPr>
            </w:pPr>
          </w:p>
        </w:tc>
        <w:tc>
          <w:tcPr>
            <w:tcW w:w="1217" w:type="dxa"/>
            <w:vMerge/>
          </w:tcPr>
          <w:p w:rsidR="0077145F" w:rsidRPr="0077145F" w:rsidRDefault="0077145F" w:rsidP="0077145F">
            <w:pPr>
              <w:rPr>
                <w:rFonts w:asciiTheme="minorHAnsi" w:hAnsiTheme="minorHAnsi"/>
                <w:sz w:val="22"/>
              </w:rPr>
            </w:pPr>
          </w:p>
        </w:tc>
        <w:tc>
          <w:tcPr>
            <w:tcW w:w="3260"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c>
          <w:tcPr>
            <w:tcW w:w="3402" w:type="dxa"/>
          </w:tcPr>
          <w:p w:rsidR="0077145F" w:rsidRPr="0077145F" w:rsidRDefault="0077145F" w:rsidP="0077145F">
            <w:pPr>
              <w:jc w:val="center"/>
              <w:rPr>
                <w:rFonts w:asciiTheme="minorHAnsi" w:hAnsiTheme="minorHAnsi"/>
                <w:sz w:val="22"/>
              </w:rPr>
            </w:pPr>
            <w:r w:rsidRPr="0077145F">
              <w:rPr>
                <w:rFonts w:ascii="Times New Roman" w:hAnsi="Times New Roman"/>
                <w:b/>
                <w:sz w:val="24"/>
                <w:szCs w:val="24"/>
              </w:rPr>
              <w:t xml:space="preserve">Įmokos dydis vienam turto vienetui per mėnesį </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2,30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3,47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5,01</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10,04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20,07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4,05</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5,85</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11,70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3,66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5,49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7,94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15,89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4,63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6,94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10,04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20,07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240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40,16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11,76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17,64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25,47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50,97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lastRenderedPageBreak/>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101,94</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660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152,92</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19,60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29,39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42,47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84,95</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169,90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254,87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71,29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106,93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154,46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308,93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617,87</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89,11</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133,66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193,08</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386,16</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106,93</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160,40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231,69</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463,40</w:t>
            </w:r>
          </w:p>
        </w:tc>
      </w:tr>
      <w:tr w:rsidR="0077145F" w:rsidRPr="0077145F" w:rsidTr="0077145F">
        <w:tc>
          <w:tcPr>
            <w:tcW w:w="1443"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6000</w:t>
            </w:r>
          </w:p>
        </w:tc>
        <w:tc>
          <w:tcPr>
            <w:tcW w:w="1217"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926,80</w:t>
            </w:r>
          </w:p>
        </w:tc>
      </w:tr>
    </w:tbl>
    <w:p w:rsidR="0077145F" w:rsidRPr="0077145F" w:rsidRDefault="0077145F" w:rsidP="0077145F">
      <w:pPr>
        <w:rPr>
          <w:rFonts w:ascii="Times New Roman" w:eastAsiaTheme="minorHAnsi" w:hAnsi="Times New Roman"/>
          <w:sz w:val="24"/>
          <w:szCs w:val="24"/>
          <w:lang w:eastAsia="en-US"/>
        </w:rPr>
      </w:pPr>
    </w:p>
    <w:p w:rsidR="0077145F" w:rsidRPr="0077145F" w:rsidRDefault="0077145F" w:rsidP="0077145F">
      <w:pPr>
        <w:rPr>
          <w:rFonts w:ascii="Times New Roman" w:eastAsiaTheme="minorHAnsi" w:hAnsi="Times New Roman"/>
          <w:b/>
          <w:sz w:val="24"/>
          <w:szCs w:val="24"/>
          <w:lang w:eastAsia="en-US"/>
        </w:rPr>
      </w:pPr>
    </w:p>
    <w:p w:rsidR="0077145F" w:rsidRPr="0077145F" w:rsidRDefault="0077145F" w:rsidP="0077145F">
      <w:pPr>
        <w:ind w:left="-142"/>
        <w:rPr>
          <w:rFonts w:ascii="Times New Roman" w:eastAsiaTheme="minorHAnsi" w:hAnsi="Times New Roman"/>
          <w:b/>
          <w:sz w:val="24"/>
          <w:szCs w:val="24"/>
          <w:lang w:eastAsia="en-US"/>
        </w:rPr>
      </w:pPr>
      <w:r w:rsidRPr="0077145F">
        <w:rPr>
          <w:rFonts w:ascii="Times New Roman" w:eastAsiaTheme="minorHAnsi" w:hAnsi="Times New Roman"/>
          <w:b/>
          <w:sz w:val="24"/>
          <w:szCs w:val="24"/>
          <w:lang w:eastAsia="en-US"/>
        </w:rPr>
        <w:t>Nekilnojamojo turto objektai, kurie naudojasi kolektyviniais konteineriais (daugiabučių namų gyventojai)</w:t>
      </w:r>
    </w:p>
    <w:p w:rsidR="0077145F" w:rsidRPr="0077145F" w:rsidRDefault="0077145F" w:rsidP="0077145F">
      <w:pPr>
        <w:ind w:left="-142"/>
        <w:rPr>
          <w:rFonts w:ascii="Times New Roman" w:eastAsiaTheme="minorHAnsi" w:hAnsi="Times New Roman"/>
          <w:b/>
          <w:sz w:val="24"/>
          <w:szCs w:val="24"/>
          <w:lang w:eastAsia="en-US"/>
        </w:rPr>
      </w:pPr>
    </w:p>
    <w:tbl>
      <w:tblPr>
        <w:tblStyle w:val="Lentelstinklelis2"/>
        <w:tblW w:w="9322" w:type="dxa"/>
        <w:tblLayout w:type="fixed"/>
        <w:tblLook w:val="04A0" w:firstRow="1" w:lastRow="0" w:firstColumn="1" w:lastColumn="0" w:noHBand="0" w:noVBand="1"/>
      </w:tblPr>
      <w:tblGrid>
        <w:gridCol w:w="2660"/>
        <w:gridCol w:w="3260"/>
        <w:gridCol w:w="3402"/>
      </w:tblGrid>
      <w:tr w:rsidR="0077145F" w:rsidRPr="0077145F" w:rsidTr="0077145F">
        <w:tc>
          <w:tcPr>
            <w:tcW w:w="9322" w:type="dxa"/>
            <w:gridSpan w:val="3"/>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Gyvenamosios paskirties objektai (daugiabučiai namai)</w:t>
            </w:r>
          </w:p>
          <w:p w:rsidR="0077145F" w:rsidRPr="0077145F" w:rsidRDefault="0077145F" w:rsidP="0077145F">
            <w:pPr>
              <w:jc w:val="center"/>
              <w:rPr>
                <w:rFonts w:ascii="Times New Roman" w:hAnsi="Times New Roman"/>
                <w:sz w:val="24"/>
                <w:szCs w:val="24"/>
              </w:rPr>
            </w:pPr>
          </w:p>
        </w:tc>
      </w:tr>
      <w:tr w:rsidR="0077145F" w:rsidRPr="0077145F" w:rsidTr="0077145F">
        <w:tc>
          <w:tcPr>
            <w:tcW w:w="2660" w:type="dxa"/>
            <w:vMerge w:val="restart"/>
          </w:tcPr>
          <w:p w:rsidR="0077145F" w:rsidRPr="0077145F" w:rsidRDefault="0077145F" w:rsidP="0077145F">
            <w:pPr>
              <w:jc w:val="center"/>
              <w:rPr>
                <w:rFonts w:ascii="Times New Roman" w:hAnsi="Times New Roman"/>
                <w:b/>
                <w:sz w:val="24"/>
                <w:szCs w:val="24"/>
              </w:rPr>
            </w:pPr>
            <w:r w:rsidRPr="0077145F">
              <w:rPr>
                <w:rFonts w:ascii="Times New Roman" w:hAnsi="Times New Roman"/>
                <w:b/>
                <w:sz w:val="24"/>
                <w:szCs w:val="24"/>
              </w:rPr>
              <w:t>Asmenų skaičius</w:t>
            </w:r>
          </w:p>
        </w:tc>
        <w:tc>
          <w:tcPr>
            <w:tcW w:w="3260" w:type="dxa"/>
          </w:tcPr>
          <w:p w:rsidR="0077145F" w:rsidRPr="0077145F" w:rsidRDefault="0077145F" w:rsidP="0077145F">
            <w:pPr>
              <w:jc w:val="center"/>
              <w:rPr>
                <w:rFonts w:asciiTheme="minorHAnsi" w:hAnsiTheme="minorHAnsi"/>
                <w:b/>
                <w:sz w:val="22"/>
              </w:rPr>
            </w:pPr>
            <w:r w:rsidRPr="0077145F">
              <w:rPr>
                <w:rFonts w:ascii="Times New Roman" w:hAnsi="Times New Roman"/>
                <w:b/>
                <w:sz w:val="24"/>
                <w:szCs w:val="24"/>
              </w:rPr>
              <w:t>DVĮ pastovioji dedamoji, Eur</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b/>
                <w:sz w:val="24"/>
                <w:szCs w:val="24"/>
              </w:rPr>
              <w:t>DVĮ kintamoji dedamoji pagal asmenų skaičių, Eur</w:t>
            </w:r>
          </w:p>
        </w:tc>
      </w:tr>
      <w:tr w:rsidR="0077145F" w:rsidRPr="0077145F" w:rsidTr="0077145F">
        <w:tc>
          <w:tcPr>
            <w:tcW w:w="2660" w:type="dxa"/>
            <w:vMerge/>
          </w:tcPr>
          <w:p w:rsidR="0077145F" w:rsidRPr="0077145F" w:rsidRDefault="0077145F" w:rsidP="0077145F">
            <w:pPr>
              <w:jc w:val="center"/>
              <w:rPr>
                <w:rFonts w:ascii="Times New Roman" w:hAnsi="Times New Roman"/>
                <w:sz w:val="24"/>
                <w:szCs w:val="24"/>
              </w:rPr>
            </w:pP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b/>
                <w:sz w:val="24"/>
                <w:szCs w:val="24"/>
              </w:rPr>
              <w:t>Įmokos dydis vienam turto vienetui per mėnesį (butas)</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b/>
                <w:sz w:val="24"/>
                <w:szCs w:val="24"/>
              </w:rPr>
              <w:t>Įmokos dydis vienam turto vienetui per mėnesį (butas)</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1,67</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2</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3,37</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3</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5,05</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4</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6,74</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5</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8,43</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6</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10,12</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7</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11,81</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8</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13,49</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9</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15,18</w:t>
            </w:r>
          </w:p>
        </w:tc>
      </w:tr>
      <w:tr w:rsidR="0077145F" w:rsidRPr="0077145F" w:rsidTr="0077145F">
        <w:tc>
          <w:tcPr>
            <w:tcW w:w="26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10</w:t>
            </w:r>
          </w:p>
        </w:tc>
        <w:tc>
          <w:tcPr>
            <w:tcW w:w="3260"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0,01</w:t>
            </w:r>
          </w:p>
        </w:tc>
        <w:tc>
          <w:tcPr>
            <w:tcW w:w="3402" w:type="dxa"/>
          </w:tcPr>
          <w:p w:rsidR="0077145F" w:rsidRPr="0077145F" w:rsidRDefault="0077145F" w:rsidP="0077145F">
            <w:pPr>
              <w:jc w:val="center"/>
              <w:rPr>
                <w:rFonts w:ascii="Times New Roman" w:hAnsi="Times New Roman"/>
                <w:sz w:val="24"/>
                <w:szCs w:val="24"/>
              </w:rPr>
            </w:pPr>
            <w:r w:rsidRPr="0077145F">
              <w:rPr>
                <w:rFonts w:ascii="Times New Roman" w:hAnsi="Times New Roman"/>
                <w:sz w:val="24"/>
                <w:szCs w:val="24"/>
              </w:rPr>
              <w:t>16,87</w:t>
            </w:r>
          </w:p>
        </w:tc>
      </w:tr>
    </w:tbl>
    <w:p w:rsidR="0077145F" w:rsidRPr="0077145F" w:rsidRDefault="0077145F" w:rsidP="0077145F">
      <w:pPr>
        <w:spacing w:after="200" w:line="276" w:lineRule="auto"/>
        <w:rPr>
          <w:rFonts w:asciiTheme="minorHAnsi" w:eastAsiaTheme="minorHAnsi" w:hAnsiTheme="minorHAnsi" w:cstheme="minorBidi"/>
          <w:sz w:val="22"/>
          <w:szCs w:val="22"/>
          <w:lang w:eastAsia="en-US"/>
        </w:rPr>
      </w:pPr>
    </w:p>
    <w:p w:rsidR="0077145F" w:rsidRPr="0077145F" w:rsidRDefault="0077145F" w:rsidP="0077145F">
      <w:pPr>
        <w:spacing w:after="200" w:line="276" w:lineRule="auto"/>
        <w:jc w:val="center"/>
        <w:rPr>
          <w:rFonts w:asciiTheme="minorHAnsi" w:eastAsiaTheme="minorHAnsi" w:hAnsiTheme="minorHAnsi" w:cstheme="minorBidi"/>
          <w:sz w:val="22"/>
          <w:szCs w:val="22"/>
          <w:lang w:eastAsia="en-US"/>
        </w:rPr>
      </w:pPr>
      <w:r w:rsidRPr="0077145F">
        <w:rPr>
          <w:rFonts w:asciiTheme="minorHAnsi" w:eastAsiaTheme="minorHAnsi" w:hAnsiTheme="minorHAnsi" w:cstheme="minorBidi"/>
          <w:sz w:val="22"/>
          <w:szCs w:val="22"/>
          <w:lang w:eastAsia="en-US"/>
        </w:rPr>
        <w:t>___________________________________________</w:t>
      </w:r>
    </w:p>
    <w:p w:rsidR="0077145F" w:rsidRDefault="0077145F" w:rsidP="0077145F">
      <w:pPr>
        <w:jc w:val="center"/>
        <w:rPr>
          <w:rFonts w:ascii="Times New Roman" w:hAnsi="Times New Roman"/>
          <w:b/>
          <w:sz w:val="28"/>
          <w:szCs w:val="28"/>
        </w:rPr>
      </w:pPr>
    </w:p>
    <w:p w:rsidR="0077145F" w:rsidRDefault="0077145F" w:rsidP="0077145F">
      <w:pPr>
        <w:jc w:val="center"/>
        <w:rPr>
          <w:rFonts w:ascii="Times New Roman" w:hAnsi="Times New Roman"/>
          <w:b/>
          <w:sz w:val="28"/>
          <w:szCs w:val="28"/>
        </w:rPr>
      </w:pPr>
    </w:p>
    <w:p w:rsidR="0077145F" w:rsidRDefault="0077145F" w:rsidP="0077145F">
      <w:pPr>
        <w:jc w:val="center"/>
        <w:rPr>
          <w:rFonts w:ascii="Times New Roman" w:hAnsi="Times New Roman"/>
          <w:b/>
          <w:sz w:val="28"/>
          <w:szCs w:val="28"/>
        </w:rPr>
      </w:pPr>
    </w:p>
    <w:p w:rsidR="00A54AE5" w:rsidRPr="00060C79" w:rsidRDefault="00A54AE5" w:rsidP="00903844">
      <w:pP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31" w:rsidRDefault="00226D31">
      <w:r>
        <w:separator/>
      </w:r>
    </w:p>
  </w:endnote>
  <w:endnote w:type="continuationSeparator" w:id="0">
    <w:p w:rsidR="00226D31" w:rsidRDefault="0022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31" w:rsidRDefault="00226D31">
      <w:r>
        <w:separator/>
      </w:r>
    </w:p>
  </w:footnote>
  <w:footnote w:type="continuationSeparator" w:id="0">
    <w:p w:rsidR="00226D31" w:rsidRDefault="0022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115FBC">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6419"/>
    <w:multiLevelType w:val="hybridMultilevel"/>
    <w:tmpl w:val="09EAD222"/>
    <w:lvl w:ilvl="0" w:tplc="BCB0640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4BE3D14"/>
    <w:multiLevelType w:val="hybridMultilevel"/>
    <w:tmpl w:val="95C29AE0"/>
    <w:lvl w:ilvl="0" w:tplc="EAF8C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B527901"/>
    <w:multiLevelType w:val="hybridMultilevel"/>
    <w:tmpl w:val="E4E4BE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9"/>
    <w:rsid w:val="00002238"/>
    <w:rsid w:val="00007187"/>
    <w:rsid w:val="0000751D"/>
    <w:rsid w:val="00007A07"/>
    <w:rsid w:val="00011795"/>
    <w:rsid w:val="00013A21"/>
    <w:rsid w:val="00014784"/>
    <w:rsid w:val="000164A3"/>
    <w:rsid w:val="00016859"/>
    <w:rsid w:val="000170E3"/>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1CB"/>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5FBC"/>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26D31"/>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3614"/>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085E"/>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23BA"/>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145F"/>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84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410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19E03B-C040-4A84-A60D-7FE2B81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paragraph" w:styleId="Antrat8">
    <w:name w:val="heading 8"/>
    <w:basedOn w:val="prastasis"/>
    <w:next w:val="prastasis"/>
    <w:link w:val="Antrat8Diagrama"/>
    <w:semiHidden/>
    <w:unhideWhenUsed/>
    <w:qFormat/>
    <w:rsid w:val="0077145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character" w:customStyle="1" w:styleId="Antrat8Diagrama">
    <w:name w:val="Antraštė 8 Diagrama"/>
    <w:basedOn w:val="Numatytasispastraiposriftas"/>
    <w:link w:val="Antrat8"/>
    <w:semiHidden/>
    <w:rsid w:val="0077145F"/>
    <w:rPr>
      <w:rFonts w:asciiTheme="majorHAnsi" w:eastAsiaTheme="majorEastAsia" w:hAnsiTheme="majorHAnsi" w:cstheme="majorBidi"/>
      <w:color w:val="404040" w:themeColor="text1" w:themeTint="BF"/>
    </w:rPr>
  </w:style>
  <w:style w:type="table" w:customStyle="1" w:styleId="Lentelstinklelis2">
    <w:name w:val="Lentelės tinklelis2"/>
    <w:basedOn w:val="prastojilentel"/>
    <w:next w:val="Lentelstinklelis"/>
    <w:uiPriority w:val="59"/>
    <w:rsid w:val="00771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4</Pages>
  <Words>3094</Words>
  <Characters>1765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2016-10-27T05:40:00Z</cp:lastPrinted>
  <dcterms:created xsi:type="dcterms:W3CDTF">2018-04-30T07:37:00Z</dcterms:created>
  <dcterms:modified xsi:type="dcterms:W3CDTF">2018-04-30T07:37:00Z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25a419d5-b41c-490e-a0dc-7e8ec6d654ef</vt:lpwstr>
  </property>
</Properties>
</file>